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1F2933"/>
          <w:sz w:val="40"/>
          <w:szCs w:val="40"/>
        </w:rPr>
        <w:t xml:space="preserve">Daniel Okafor</w:t>
      </w:r>
    </w:p>
    <w:p>
      <w:pPr>
        <w:spacing w:after="40"/>
      </w:pPr>
      <w:r>
        <w:rPr>
          <w:rFonts w:ascii="Calibri" w:cs="Calibri" w:eastAsia="Calibri" w:hAnsi="Calibri"/>
          <w:color w:val="52606D"/>
          <w:sz w:val="21"/>
          <w:szCs w:val="21"/>
        </w:rPr>
        <w:t xml:space="preserve">Staff Accountant, CPA</w:t>
      </w:r>
    </w:p>
    <w:p>
      <w:pPr>
        <w:spacing w:after="40"/>
      </w:pPr>
      <w:r>
        <w:rPr>
          <w:rFonts w:ascii="Calibri" w:cs="Calibri" w:eastAsia="Calibri" w:hAnsi="Calibri"/>
          <w:color w:val="52606D"/>
          <w:sz w:val="19"/>
          <w:szCs w:val="19"/>
        </w:rPr>
        <w:t xml:space="preserve">Columbus, OH · daniel.okafor@example.com · (614) 555-0142</w:t>
      </w:r>
    </w:p>
    <w:p>
      <w:pPr>
        <w:pBdr>
          <w:bottom w:val="single" w:color="B8C2CC" w:sz="6" w:space="2"/>
        </w:pBdr>
        <w:spacing w:after="80" w:before="240"/>
      </w:pPr>
      <w:r>
        <w:rPr>
          <w:rFonts w:ascii="Calibri" w:cs="Calibri" w:eastAsia="Calibri" w:hAnsi="Calibri"/>
          <w:b/>
          <w:bCs/>
          <w:color w:val="1F2933"/>
          <w:spacing w:val="20"/>
          <w:sz w:val="22"/>
          <w:szCs w:val="22"/>
        </w:rPr>
        <w:t xml:space="preserve">SUMMARY</w:t>
      </w:r>
    </w:p>
    <w:p>
      <w:pPr>
        <w:spacing w:after="40"/>
      </w:pPr>
      <w:r>
        <w:rPr>
          <w:rFonts w:ascii="Calibri" w:cs="Calibri" w:eastAsia="Calibri" w:hAnsi="Calibri"/>
          <w:color w:val="1F2933"/>
          <w:sz w:val="21"/>
          <w:szCs w:val="21"/>
        </w:rPr>
        <w:t xml:space="preserve">CPA with six years in corporate and public accounting, currently owning the general ledger and month-end close for a manufacturer with four legal entities. Shortened the close from eight business days to five by rebuilding the reconciliation calendar and automating two recurring journal entries. Known for clean audit files and for explaining variances to operations managers in plain language.</w:t>
      </w:r>
    </w:p>
    <w:p>
      <w:pPr>
        <w:pBdr>
          <w:bottom w:val="single" w:color="B8C2CC" w:sz="6" w:space="2"/>
        </w:pBdr>
        <w:spacing w:after="80" w:before="240"/>
      </w:pPr>
      <w:r>
        <w:rPr>
          <w:rFonts w:ascii="Calibri" w:cs="Calibri" w:eastAsia="Calibri" w:hAnsi="Calibri"/>
          <w:b/>
          <w:bCs/>
          <w:color w:val="1F2933"/>
          <w:spacing w:val="20"/>
          <w:sz w:val="22"/>
          <w:szCs w:val="22"/>
        </w:rPr>
        <w:t xml:space="preserve">SKILLS</w:t>
      </w:r>
    </w:p>
    <w:p>
      <w:pPr>
        <w:spacing w:after="40"/>
      </w:pPr>
      <w:r>
        <w:rPr>
          <w:rFonts w:ascii="Calibri" w:cs="Calibri" w:eastAsia="Calibri" w:hAnsi="Calibri"/>
          <w:color w:val="1F2933"/>
          <w:sz w:val="21"/>
          <w:szCs w:val="21"/>
        </w:rPr>
        <w:t xml:space="preserve">General ledger · Month-end close · Account reconciliation · ASC 606 and ASC 842 · Audit preparation · NetSuite · Excel (lookups, pivot tables, Power Query) · Variance analysis · Fixed assets · Accruals and prepaids</w:t>
      </w:r>
    </w:p>
    <w:p>
      <w:pPr>
        <w:pBdr>
          <w:bottom w:val="single" w:color="B8C2CC" w:sz="6" w:space="2"/>
        </w:pBdr>
        <w:spacing w:after="80" w:before="240"/>
      </w:pPr>
      <w:r>
        <w:rPr>
          <w:rFonts w:ascii="Calibri" w:cs="Calibri" w:eastAsia="Calibri" w:hAnsi="Calibri"/>
          <w:b/>
          <w:bCs/>
          <w:color w:val="1F2933"/>
          <w:spacing w:val="20"/>
          <w:sz w:val="22"/>
          <w:szCs w:val="22"/>
        </w:rPr>
        <w:t xml:space="preserve">EXPERIENCE</w:t>
      </w:r>
    </w:p>
    <w:p>
      <w:pPr>
        <w:tabs>
          <w:tab w:val="right" w:pos="10080"/>
        </w:tabs>
        <w:spacing w:after="20" w:before="120"/>
      </w:pPr>
      <w:r>
        <w:rPr>
          <w:rFonts w:ascii="Calibri" w:cs="Calibri" w:eastAsia="Calibri" w:hAnsi="Calibri"/>
          <w:b/>
          <w:bCs/>
          <w:color w:val="1F2933"/>
          <w:sz w:val="21"/>
          <w:szCs w:val="21"/>
        </w:rPr>
        <w:t xml:space="preserve">Staff Accountant, Brightwater Components</w:t>
      </w:r>
      <w:r>
        <w:rPr>
          <w:rFonts w:ascii="Calibri" w:cs="Calibri" w:eastAsia="Calibri" w:hAnsi="Calibri"/>
          <w:color w:val="52606D"/>
          <w:sz w:val="21"/>
          <w:szCs w:val="21"/>
        </w:rPr>
        <w:t xml:space="preserve">	Mar 2021 – Present</w:t>
      </w:r>
    </w:p>
    <w:p>
      <w:pPr>
        <w:spacing w:after="40"/>
      </w:pPr>
      <w:r>
        <w:rPr>
          <w:rFonts w:ascii="Calibri" w:cs="Calibri" w:eastAsia="Calibri" w:hAnsi="Calibri"/>
          <w:color w:val="52606D"/>
          <w:sz w:val="19"/>
          <w:szCs w:val="19"/>
        </w:rPr>
        <w:t xml:space="preserve">Columbus, OH</w:t>
      </w:r>
    </w:p>
    <w:p>
      <w:pPr>
        <w:pStyle w:val="ListParagraph"/>
        <w:numPr>
          <w:ilvl w:val="0"/>
          <w:numId w:val="2"/>
        </w:numPr>
        <w:spacing w:after="40"/>
      </w:pPr>
      <w:r>
        <w:rPr>
          <w:rFonts w:ascii="Calibri" w:cs="Calibri" w:eastAsia="Calibri" w:hAnsi="Calibri"/>
          <w:color w:val="1F2933"/>
          <w:sz w:val="21"/>
          <w:szCs w:val="21"/>
        </w:rPr>
        <w:t xml:space="preserve">Own month-end close for four entities and 310 balance sheet accounts; cut the close from eight business days to five in eighteen months.</w:t>
      </w:r>
    </w:p>
    <w:p>
      <w:pPr>
        <w:pStyle w:val="ListParagraph"/>
        <w:numPr>
          <w:ilvl w:val="0"/>
          <w:numId w:val="2"/>
        </w:numPr>
        <w:spacing w:after="40"/>
      </w:pPr>
      <w:r>
        <w:rPr>
          <w:rFonts w:ascii="Calibri" w:cs="Calibri" w:eastAsia="Calibri" w:hAnsi="Calibri"/>
          <w:color w:val="1F2933"/>
          <w:sz w:val="21"/>
          <w:szCs w:val="21"/>
        </w:rPr>
        <w:t xml:space="preserve">Rebuilt the accrual and prepaid schedules in Excel with lookups to the ERP export, removing about twelve hours of manual work each month.</w:t>
      </w:r>
    </w:p>
    <w:p>
      <w:pPr>
        <w:pStyle w:val="ListParagraph"/>
        <w:numPr>
          <w:ilvl w:val="0"/>
          <w:numId w:val="2"/>
        </w:numPr>
        <w:spacing w:after="40"/>
      </w:pPr>
      <w:r>
        <w:rPr>
          <w:rFonts w:ascii="Calibri" w:cs="Calibri" w:eastAsia="Calibri" w:hAnsi="Calibri"/>
          <w:color w:val="1F2933"/>
          <w:sz w:val="21"/>
          <w:szCs w:val="21"/>
        </w:rPr>
        <w:t xml:space="preserve">Prepared the fixed asset roll-forward and lease schedules under ASC 842 for the annual audit; the audit closed with no proposed adjustments in two consecutive years.</w:t>
      </w:r>
    </w:p>
    <w:p>
      <w:pPr>
        <w:pStyle w:val="ListParagraph"/>
        <w:numPr>
          <w:ilvl w:val="0"/>
          <w:numId w:val="2"/>
        </w:numPr>
        <w:spacing w:after="40"/>
      </w:pPr>
      <w:r>
        <w:rPr>
          <w:rFonts w:ascii="Calibri" w:cs="Calibri" w:eastAsia="Calibri" w:hAnsi="Calibri"/>
          <w:color w:val="1F2933"/>
          <w:sz w:val="21"/>
          <w:szCs w:val="21"/>
        </w:rPr>
        <w:t xml:space="preserve">Investigate and explain monthly variances over $25,000 to plant managers, turning budget reviews from a list of numbers into a short set of decisions.</w:t>
      </w:r>
    </w:p>
    <w:p>
      <w:pPr>
        <w:tabs>
          <w:tab w:val="right" w:pos="10080"/>
        </w:tabs>
        <w:spacing w:after="20" w:before="120"/>
      </w:pPr>
      <w:r>
        <w:rPr>
          <w:rFonts w:ascii="Calibri" w:cs="Calibri" w:eastAsia="Calibri" w:hAnsi="Calibri"/>
          <w:b/>
          <w:bCs/>
          <w:color w:val="1F2933"/>
          <w:sz w:val="21"/>
          <w:szCs w:val="21"/>
        </w:rPr>
        <w:t xml:space="preserve">Audit Associate, Keller &amp; Moss LLP</w:t>
      </w:r>
      <w:r>
        <w:rPr>
          <w:rFonts w:ascii="Calibri" w:cs="Calibri" w:eastAsia="Calibri" w:hAnsi="Calibri"/>
          <w:color w:val="52606D"/>
          <w:sz w:val="21"/>
          <w:szCs w:val="21"/>
        </w:rPr>
        <w:t xml:space="preserve">	Aug 2018 – Feb 2021</w:t>
      </w:r>
    </w:p>
    <w:p>
      <w:pPr>
        <w:spacing w:after="40"/>
      </w:pPr>
      <w:r>
        <w:rPr>
          <w:rFonts w:ascii="Calibri" w:cs="Calibri" w:eastAsia="Calibri" w:hAnsi="Calibri"/>
          <w:color w:val="52606D"/>
          <w:sz w:val="19"/>
          <w:szCs w:val="19"/>
        </w:rPr>
        <w:t xml:space="preserve">Dayton, OH</w:t>
      </w:r>
    </w:p>
    <w:p>
      <w:pPr>
        <w:pStyle w:val="ListParagraph"/>
        <w:numPr>
          <w:ilvl w:val="0"/>
          <w:numId w:val="2"/>
        </w:numPr>
        <w:spacing w:after="40"/>
      </w:pPr>
      <w:r>
        <w:rPr>
          <w:rFonts w:ascii="Calibri" w:cs="Calibri" w:eastAsia="Calibri" w:hAnsi="Calibri"/>
          <w:color w:val="1F2933"/>
          <w:sz w:val="21"/>
          <w:szCs w:val="21"/>
        </w:rPr>
        <w:t xml:space="preserve">Performed substantive testing of revenue, payables and inventory for twelve clients in manufacturing and nonprofit sectors, each with revenue between $20M and $150M.</w:t>
      </w:r>
    </w:p>
    <w:p>
      <w:pPr>
        <w:pStyle w:val="ListParagraph"/>
        <w:numPr>
          <w:ilvl w:val="0"/>
          <w:numId w:val="2"/>
        </w:numPr>
        <w:spacing w:after="40"/>
      </w:pPr>
      <w:r>
        <w:rPr>
          <w:rFonts w:ascii="Calibri" w:cs="Calibri" w:eastAsia="Calibri" w:hAnsi="Calibri"/>
          <w:color w:val="1F2933"/>
          <w:sz w:val="21"/>
          <w:szCs w:val="21"/>
        </w:rPr>
        <w:t xml:space="preserve">Drafted internal control memos that clients adopted as the basis for their own process documentation.</w:t>
      </w:r>
    </w:p>
    <w:p>
      <w:pPr>
        <w:pStyle w:val="ListParagraph"/>
        <w:numPr>
          <w:ilvl w:val="0"/>
          <w:numId w:val="2"/>
        </w:numPr>
        <w:spacing w:after="40"/>
      </w:pPr>
      <w:r>
        <w:rPr>
          <w:rFonts w:ascii="Calibri" w:cs="Calibri" w:eastAsia="Calibri" w:hAnsi="Calibri"/>
          <w:color w:val="1F2933"/>
          <w:sz w:val="21"/>
          <w:szCs w:val="21"/>
        </w:rPr>
        <w:t xml:space="preserve">Trained three new associates on sampling, workpaper standards and the firm's audit software during busy season.</w:t>
      </w:r>
    </w:p>
    <w:p>
      <w:pPr>
        <w:tabs>
          <w:tab w:val="right" w:pos="10080"/>
        </w:tabs>
        <w:spacing w:after="20" w:before="120"/>
      </w:pPr>
      <w:r>
        <w:rPr>
          <w:rFonts w:ascii="Calibri" w:cs="Calibri" w:eastAsia="Calibri" w:hAnsi="Calibri"/>
          <w:b/>
          <w:bCs/>
          <w:color w:val="1F2933"/>
          <w:sz w:val="21"/>
          <w:szCs w:val="21"/>
        </w:rPr>
        <w:t xml:space="preserve">Accounting Intern, Riverside Mutual Credit Union</w:t>
      </w:r>
      <w:r>
        <w:rPr>
          <w:rFonts w:ascii="Calibri" w:cs="Calibri" w:eastAsia="Calibri" w:hAnsi="Calibri"/>
          <w:color w:val="52606D"/>
          <w:sz w:val="21"/>
          <w:szCs w:val="21"/>
        </w:rPr>
        <w:t xml:space="preserve">	May 2017 – Aug 2017</w:t>
      </w:r>
    </w:p>
    <w:p>
      <w:pPr>
        <w:spacing w:after="40"/>
      </w:pPr>
      <w:r>
        <w:rPr>
          <w:rFonts w:ascii="Calibri" w:cs="Calibri" w:eastAsia="Calibri" w:hAnsi="Calibri"/>
          <w:color w:val="52606D"/>
          <w:sz w:val="19"/>
          <w:szCs w:val="19"/>
        </w:rPr>
        <w:t xml:space="preserve">Columbus, OH</w:t>
      </w:r>
    </w:p>
    <w:p>
      <w:pPr>
        <w:pStyle w:val="ListParagraph"/>
        <w:numPr>
          <w:ilvl w:val="0"/>
          <w:numId w:val="2"/>
        </w:numPr>
        <w:spacing w:after="40"/>
      </w:pPr>
      <w:r>
        <w:rPr>
          <w:rFonts w:ascii="Calibri" w:cs="Calibri" w:eastAsia="Calibri" w:hAnsi="Calibri"/>
          <w:color w:val="1F2933"/>
          <w:sz w:val="21"/>
          <w:szCs w:val="21"/>
        </w:rPr>
        <w:t xml:space="preserve">Reconciled daily cash and ATM settlement accounts across three branches and cleared a backlog of 140 aged items.</w:t>
      </w:r>
    </w:p>
    <w:p>
      <w:pPr>
        <w:pStyle w:val="ListParagraph"/>
        <w:numPr>
          <w:ilvl w:val="0"/>
          <w:numId w:val="2"/>
        </w:numPr>
        <w:spacing w:after="40"/>
      </w:pPr>
      <w:r>
        <w:rPr>
          <w:rFonts w:ascii="Calibri" w:cs="Calibri" w:eastAsia="Calibri" w:hAnsi="Calibri"/>
          <w:color w:val="1F2933"/>
          <w:sz w:val="21"/>
          <w:szCs w:val="21"/>
        </w:rPr>
        <w:t xml:space="preserve">Built a checklist for the teller-drawer reconciliation that the branch operations team still uses.</w:t>
      </w:r>
    </w:p>
    <w:p>
      <w:pPr>
        <w:pBdr>
          <w:bottom w:val="single" w:color="B8C2CC" w:sz="6" w:space="2"/>
        </w:pBdr>
        <w:spacing w:after="80" w:before="240"/>
      </w:pPr>
      <w:r>
        <w:rPr>
          <w:rFonts w:ascii="Calibri" w:cs="Calibri" w:eastAsia="Calibri" w:hAnsi="Calibri"/>
          <w:b/>
          <w:bCs/>
          <w:color w:val="1F2933"/>
          <w:spacing w:val="20"/>
          <w:sz w:val="22"/>
          <w:szCs w:val="22"/>
        </w:rPr>
        <w:t xml:space="preserve">EDUCATION</w:t>
      </w:r>
    </w:p>
    <w:p>
      <w:pPr>
        <w:tabs>
          <w:tab w:val="right" w:pos="10080"/>
        </w:tabs>
        <w:spacing w:after="20" w:before="120"/>
      </w:pPr>
      <w:r>
        <w:rPr>
          <w:rFonts w:ascii="Calibri" w:cs="Calibri" w:eastAsia="Calibri" w:hAnsi="Calibri"/>
          <w:b/>
          <w:bCs/>
          <w:color w:val="1F2933"/>
          <w:sz w:val="21"/>
          <w:szCs w:val="21"/>
        </w:rPr>
        <w:t xml:space="preserve">B.S. in Accounting</w:t>
      </w:r>
      <w:r>
        <w:rPr>
          <w:rFonts w:ascii="Calibri" w:cs="Calibri" w:eastAsia="Calibri" w:hAnsi="Calibri"/>
          <w:color w:val="52606D"/>
          <w:sz w:val="21"/>
          <w:szCs w:val="21"/>
        </w:rPr>
        <w:t xml:space="preserve">	2018</w:t>
      </w:r>
    </w:p>
    <w:p>
      <w:pPr>
        <w:spacing w:after="40"/>
      </w:pPr>
      <w:r>
        <w:rPr>
          <w:rFonts w:ascii="Calibri" w:cs="Calibri" w:eastAsia="Calibri" w:hAnsi="Calibri"/>
          <w:color w:val="52606D"/>
          <w:sz w:val="19"/>
          <w:szCs w:val="19"/>
        </w:rPr>
        <w:t xml:space="preserve">Lakeshore State University, Toledo, OH</w:t>
      </w:r>
    </w:p>
    <w:p>
      <w:pPr>
        <w:spacing w:after="40"/>
      </w:pPr>
      <w:r>
        <w:rPr>
          <w:rFonts w:ascii="Calibri" w:cs="Calibri" w:eastAsia="Calibri" w:hAnsi="Calibri"/>
          <w:color w:val="1F2933"/>
          <w:sz w:val="21"/>
          <w:szCs w:val="21"/>
        </w:rPr>
        <w:t xml:space="preserve">Graduated with honors; completed the 150-credit requirement through the integrated master's track.</w:t>
      </w:r>
    </w:p>
    <w:p>
      <w:pPr>
        <w:pBdr>
          <w:bottom w:val="single" w:color="B8C2CC" w:sz="6" w:space="2"/>
        </w:pBdr>
        <w:spacing w:after="80" w:before="240"/>
      </w:pPr>
      <w:r>
        <w:rPr>
          <w:rFonts w:ascii="Calibri" w:cs="Calibri" w:eastAsia="Calibri" w:hAnsi="Calibri"/>
          <w:b/>
          <w:bCs/>
          <w:color w:val="1F2933"/>
          <w:spacing w:val="20"/>
          <w:sz w:val="22"/>
          <w:szCs w:val="22"/>
        </w:rPr>
        <w:t xml:space="preserve">CERTIFICATIONS</w:t>
      </w:r>
    </w:p>
    <w:p>
      <w:pPr>
        <w:spacing w:after="40"/>
      </w:pPr>
      <w:r>
        <w:rPr>
          <w:rFonts w:ascii="Calibri" w:cs="Calibri" w:eastAsia="Calibri" w:hAnsi="Calibri"/>
          <w:color w:val="1F2933"/>
          <w:sz w:val="21"/>
          <w:szCs w:val="21"/>
        </w:rPr>
        <w:t xml:space="preserve">Certified Public Accountant (CPA), Ohio Accountancy Board, 2020</w:t>
      </w:r>
    </w:p>
    <w:sectPr>
      <w:pgSz w:w="12240" w:h="15840" w:orient="portrait"/>
      <w:pgMar w:top="1080" w:right="1080" w:bottom="1080" w:left="108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933"/>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Accountant resume example</dc:title>
  <dc:creator>Resume Master</dc:creator>
  <dc:description>Resume template from resumemaster.net</dc:description>
  <cp:lastModifiedBy>Resume Master</cp:lastModifiedBy>
  <cp:revision>1</cp:revision>
  <dcterms:created xsi:type="dcterms:W3CDTF">2026-10-13T12:54:24.985Z</dcterms:created>
  <dcterms:modified xsi:type="dcterms:W3CDTF">2026-10-13T12:54:24.985Z</dcterms:modified>
</cp:coreProperties>
</file>

<file path=docProps/custom.xml><?xml version="1.0" encoding="utf-8"?>
<Properties xmlns="http://schemas.openxmlformats.org/officeDocument/2006/custom-properties" xmlns:vt="http://schemas.openxmlformats.org/officeDocument/2006/docPropsVTypes"/>
</file>